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14" w:type="dxa"/>
        <w:tblCellMar>
          <w:left w:w="70" w:type="dxa"/>
          <w:right w:w="70" w:type="dxa"/>
        </w:tblCellMar>
        <w:tblLook w:val="04A0"/>
      </w:tblPr>
      <w:tblGrid>
        <w:gridCol w:w="464"/>
        <w:gridCol w:w="1716"/>
        <w:gridCol w:w="1924"/>
        <w:gridCol w:w="1247"/>
        <w:gridCol w:w="1534"/>
        <w:gridCol w:w="1374"/>
        <w:gridCol w:w="1074"/>
        <w:gridCol w:w="874"/>
      </w:tblGrid>
      <w:tr w:rsidR="007D4885" w:rsidRPr="004B27C2" w:rsidTr="0072413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D4885" w:rsidRPr="004B27C2" w:rsidRDefault="008C6D46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8C6D46">
              <w:rPr>
                <w:rFonts w:ascii="Times New Roman" w:eastAsiaTheme="minorHAnsi" w:hAnsi="Times New Roman"/>
                <w:noProof/>
                <w:sz w:val="24"/>
                <w:szCs w:val="24"/>
                <w:lang w:eastAsia="es-G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6" type="#_x0000_t202" style="position:absolute;left:0;text-align:left;margin-left:199.25pt;margin-top:-31.2pt;width:101.25pt;height:2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" fillcolor="white [3201]" stroked="f" strokeweight=".5pt">
                  <v:fill opacity="62194f"/>
                  <v:textbox>
                    <w:txbxContent>
                      <w:p w:rsidR="0060643C" w:rsidRDefault="00FD1F7F" w:rsidP="0060643C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28/11/2018</w:t>
                        </w:r>
                      </w:p>
                    </w:txbxContent>
                  </v:textbox>
                </v:shape>
              </w:pict>
            </w:r>
            <w:r w:rsidR="00FD1F7F" w:rsidRPr="004B27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Plantilla de compromiso</w:t>
            </w:r>
          </w:p>
        </w:tc>
      </w:tr>
      <w:tr w:rsidR="007D4885" w:rsidRPr="00056E65" w:rsidTr="0072413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85" w:rsidRDefault="00FD1F7F" w:rsidP="0072413A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B27C2">
              <w:rPr>
                <w:rFonts w:ascii="Arial" w:hAnsi="Arial" w:cs="Arial"/>
                <w:b/>
                <w:sz w:val="28"/>
                <w:szCs w:val="28"/>
              </w:rPr>
              <w:t xml:space="preserve">COMPROMISO </w:t>
            </w:r>
            <w:r>
              <w:rPr>
                <w:rFonts w:ascii="Arial" w:hAnsi="Arial" w:cs="Arial"/>
                <w:b/>
                <w:sz w:val="28"/>
                <w:szCs w:val="28"/>
              </w:rPr>
              <w:t>22:</w:t>
            </w:r>
          </w:p>
          <w:p w:rsidR="007D4885" w:rsidRDefault="00FD1F7F" w:rsidP="0072413A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4885" w:rsidRPr="00056E65" w:rsidRDefault="00FD1F7F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es-GT"/>
              </w:rPr>
            </w:pPr>
            <w:r w:rsidRPr="004B27C2">
              <w:rPr>
                <w:rFonts w:ascii="Arial" w:eastAsia="Times New Roman" w:hAnsi="Arial" w:cs="Arial"/>
                <w:b/>
                <w:sz w:val="28"/>
                <w:szCs w:val="28"/>
                <w:lang w:eastAsia="es-GT"/>
              </w:rPr>
              <w:t>Acciones para seguir avanzando en la adopción de estándares internacionales de transparencia fiscal, compras y contrataciones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s-GT"/>
              </w:rPr>
              <w:t>.</w:t>
            </w:r>
          </w:p>
        </w:tc>
      </w:tr>
      <w:tr w:rsidR="007D4885" w:rsidRPr="004B27C2" w:rsidTr="0072413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Fecha de inicio y término del compromiso: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 xml:space="preserve">noviembre de 2018 –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 xml:space="preserve">30 de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>agosto 2020</w:t>
            </w:r>
          </w:p>
        </w:tc>
      </w:tr>
      <w:tr w:rsidR="007D4885" w:rsidRPr="004B27C2" w:rsidTr="0072413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885" w:rsidRPr="004B27C2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Institución o actor responsable de la implementación</w:t>
            </w:r>
          </w:p>
        </w:tc>
        <w:tc>
          <w:tcPr>
            <w:tcW w:w="80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85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Coordinador: </w:t>
            </w: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Ministerio de Finanzas Públicas (MINFIN)</w:t>
            </w:r>
          </w:p>
          <w:p w:rsidR="007D4885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  <w:p w:rsidR="007D4885" w:rsidRPr="004B27C2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Superintendencia de Administración Tributaria (SAT)</w:t>
            </w:r>
          </w:p>
        </w:tc>
      </w:tr>
      <w:tr w:rsidR="007D4885" w:rsidRPr="004B27C2" w:rsidTr="0072413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85" w:rsidRPr="004B27C2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85" w:rsidRPr="004B27C2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</w:tr>
      <w:tr w:rsidR="007D4885" w:rsidRPr="004B27C2" w:rsidTr="0072413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85" w:rsidRPr="004B27C2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85" w:rsidRPr="004B27C2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</w:tr>
      <w:tr w:rsidR="007D4885" w:rsidRPr="004B27C2" w:rsidTr="0072413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Descripción del compromiso</w:t>
            </w:r>
          </w:p>
        </w:tc>
      </w:tr>
      <w:tr w:rsidR="007D4885" w:rsidRPr="004B27C2" w:rsidTr="0072413A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885" w:rsidRPr="004B27C2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¿Cuál es la problemática que el compromiso </w:t>
            </w: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aborda?</w:t>
            </w:r>
          </w:p>
        </w:tc>
        <w:tc>
          <w:tcPr>
            <w:tcW w:w="8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85" w:rsidRPr="004B27C2" w:rsidRDefault="00FD1F7F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Guatemala en búsqueda de fomentar la transparencia y prevenir la corrupción, se ha adherido a diversas iniciativas internacionales, tales como, la Alianza para el Gobierno Abierto (OGP) e Iniciativa Global de Transparencia Fiscal (GIFT), entre otras. Por s</w:t>
            </w: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 parte, varios organismos internacionales evalúan la gestión de las finanzas públicas, y mediante informes periódicos han formulado recomendaciones al país para mejorar y eficientar la gestión pública.</w:t>
            </w:r>
          </w:p>
          <w:p w:rsidR="007D4885" w:rsidRPr="004B27C2" w:rsidRDefault="00FD1F7F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  <w:p w:rsidR="007D4885" w:rsidRPr="004B27C2" w:rsidRDefault="00FD1F7F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Por consiguiente es recomendable analizar para su ad</w:t>
            </w: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opción, una serie de instrumentos que conforman la estructura global de normas de transparencia fiscal, como el Código y Manual de Transparencia Fiscal del Fondo Monetario Internacional (FMI), el Estándar del Foro Global sobre Transparencia e Intercambio d</w:t>
            </w: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 Información con Fines Tributarios de la Organización para la Cooperación y el Desarrollo Económicos (OCDE), el Estándar de Datos para las Contrataciones Abiertas de la Open Contracting Partnership (OCP) y los principios de la Iniciativa Global de Transpa</w:t>
            </w: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rencia Fiscal (GIFT), entre otros.</w:t>
            </w:r>
          </w:p>
          <w:p w:rsidR="007D4885" w:rsidRPr="004B27C2" w:rsidRDefault="00FD1F7F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  <w:p w:rsidR="007D4885" w:rsidRPr="004B27C2" w:rsidRDefault="00FD1F7F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Los resultados de las evaluaciones demuestran la necesidad que el país avance en realizar acciones que garanticen el cumplimiento de los estándares internacionales que coadyuven a elevar el nivel de transparencia y de me</w:t>
            </w: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jora en la gestión pública. Por ejemplo, como resultado de la adopción del Código y Manual del Fondo Monetario Internacional (FMI), es pertinente atender las recomendaciones pendientes que están contenidas en la Evaluación de Transparencia Fiscal elaborada</w:t>
            </w: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por una misión técnica del FMI en marzo y abril de 2016. En el marco del Foro Global de la OCDE, como segundo ejemplo, Guatemala aunque mejoró su calificación en julio de 2017, deberá someterse a una revisión completa para confirmarla o revertirla, y demo</w:t>
            </w: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strar si está en capacidad de intercambiar información con otros países, para fines tributarios.</w:t>
            </w:r>
          </w:p>
          <w:p w:rsidR="007D4885" w:rsidRPr="004B27C2" w:rsidRDefault="00FD1F7F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  <w:p w:rsidR="007D4885" w:rsidRPr="004B27C2" w:rsidRDefault="00FD1F7F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Por lo anterior, es recomendable que el Gobierno de Guatemala, a través de las instituciones públicas correspondientes, brinde seguimiento e implemente gradua</w:t>
            </w: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lmente, en función de su viabilidad legal, técnica, financiera, o de cualquier otra naturaleza, las acciones que se consideren necesarias para cumplir satisfactoriamente los estándares internacionales y buenas prácticas que apuntan a la transparencia fisca</w:t>
            </w: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l, rendición de cuentas, participación ciudadana y acceso a la información pública.</w:t>
            </w:r>
          </w:p>
          <w:p w:rsidR="007D4885" w:rsidRPr="004B27C2" w:rsidRDefault="00FD1F7F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  <w:p w:rsidR="007D4885" w:rsidRPr="004B27C2" w:rsidRDefault="00FD1F7F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Por otra parte, considerando que muchas de las recomendaciones podrían implicar cambios en la legislación vigente o acciones que superen los dos años de vigencia del Cuart</w:t>
            </w: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o Plan de Acción Nacional de Gobierno Abierto 2018-2020, es aconsejable conformar equipos de trabajo y elaborar hojas de ruta o planes de acción, para definir </w:t>
            </w: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lastRenderedPageBreak/>
              <w:t>las actividades que se pueden ir alcanzando durante la vigencia de cada Plan de Acción Nacional d</w:t>
            </w: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 Gobierno Abierto.</w:t>
            </w:r>
          </w:p>
        </w:tc>
      </w:tr>
      <w:tr w:rsidR="007D4885" w:rsidRPr="004B27C2" w:rsidTr="0072413A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885" w:rsidRPr="004B27C2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lastRenderedPageBreak/>
              <w:t>¿Cuál es el compromiso?</w:t>
            </w:r>
          </w:p>
        </w:tc>
        <w:tc>
          <w:tcPr>
            <w:tcW w:w="8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Pr="004B27C2" w:rsidRDefault="00FD1F7F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  <w:t>Publicar en la página del Ministerio de Finanzas Públicas los estándares internacionales y buenas prácticas de transparencia fiscal adoptados por Guatemala. Para ello se deberá desarrollar una estrategia de comu</w:t>
            </w:r>
            <w:r w:rsidRPr="004B27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  <w:t>nicación para que la población conozca el detalle actualizado de las iniciativas y los estándares vigentes en materia de transparencia, así como dar a conocer los informes de evaluación y las recomendaciones efectuadas por cada iniciativa según corresponda</w:t>
            </w:r>
            <w:r w:rsidRPr="004B27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  <w:t>.</w:t>
            </w:r>
          </w:p>
          <w:p w:rsidR="007D4885" w:rsidRPr="004B27C2" w:rsidRDefault="00FD1F7F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  <w:t>Complementariamente también es importante que se muestren los alcances y dificultades de implementar cada recomendación, así como los avances y resultados que se están obteniendo en cada caso e identificar los desafíos o metas pendientes y otros espacios</w:t>
            </w:r>
            <w:r w:rsidRPr="004B27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  <w:t xml:space="preserve"> de mejora.</w:t>
            </w:r>
          </w:p>
        </w:tc>
      </w:tr>
      <w:tr w:rsidR="007D4885" w:rsidRPr="004B27C2" w:rsidTr="0072413A">
        <w:tblPrEx>
          <w:tblCellMar>
            <w:top w:w="0" w:type="dxa"/>
            <w:bottom w:w="0" w:type="dxa"/>
          </w:tblCellMar>
        </w:tblPrEx>
        <w:trPr>
          <w:trHeight w:val="6348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885" w:rsidRPr="004B27C2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¿Cómo contribuirá a resolver la problemática?</w:t>
            </w:r>
          </w:p>
        </w:tc>
        <w:tc>
          <w:tcPr>
            <w:tcW w:w="8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Pr="004B27C2" w:rsidRDefault="00FD1F7F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  <w:t>Informar a la población guatemalteca sobre las especificaciones de los estándares internacionales y buenas prácticas en materia de transparencia fiscal, así como de los informes de evaluación que s</w:t>
            </w:r>
            <w:r w:rsidRPr="004B27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  <w:t>e han practicado en el país y las recomendaciones que han efectuado los diversos organismos internacionales, contribuye a mejorar los procesos de auditoría social sobre las acciones gubernamentales en pro de la transparencia fiscal, ya que proporciona la i</w:t>
            </w:r>
            <w:r w:rsidRPr="004B27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  <w:t>nformación necesaria para evaluar la gestión pública en general. Puede también ayudar a apuntalar la credibilidad de la gestión de las finanzas públicas y facilitar la vigilancia del desarrollo fiscal en el escenario económico internacional, posicionando a</w:t>
            </w:r>
            <w:r w:rsidRPr="004B27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  <w:t xml:space="preserve"> Guatemala en una mejor ubicación dentro del ranking internacional.</w:t>
            </w:r>
          </w:p>
          <w:p w:rsidR="007D4885" w:rsidRPr="004B27C2" w:rsidRDefault="00FD1F7F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</w:pPr>
          </w:p>
          <w:p w:rsidR="007D4885" w:rsidRPr="004B27C2" w:rsidRDefault="00FD1F7F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  <w:t>Avanzar en la implementación de estándares internacionales posibilita dar a conocer el accionar de la administración pública, por lo que el fácil y oportuno acceso a la información públic</w:t>
            </w:r>
            <w:r w:rsidRPr="004B27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  <w:t xml:space="preserve">a es una condición previa para que los ciudadanos comprendan cómo el gobierno utiliza sus facultades para llevar adelante la política fiscal, bajo principios de transparencia y eficiencia. Por ello se requieren acciones que permitan avanzar hacia sistemas </w:t>
            </w:r>
            <w:r w:rsidRPr="004B27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  <w:t xml:space="preserve">de transparencia fiscal, rendición de cuentas, participación ciudadana y acceso a la información pública, no solo para asegurar la probidad en la administración y ejecución del gasto público, sino también para favorecer su eficiencia y concordancia con el </w:t>
            </w:r>
            <w:r w:rsidRPr="004B27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  <w:t>interés general de la sociedad guatemalteca.</w:t>
            </w:r>
          </w:p>
          <w:p w:rsidR="007D4885" w:rsidRPr="004B27C2" w:rsidRDefault="00FD1F7F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</w:pPr>
          </w:p>
          <w:p w:rsidR="007D4885" w:rsidRPr="004B27C2" w:rsidRDefault="00FD1F7F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  <w:t>Adicionalmente, el cumplimiento efectivo de los estándares de transparencia fiscal puede contribuir a identificar espacios de mejora normativa e institucional en esta materia, pero también a mejorar las calific</w:t>
            </w:r>
            <w:r w:rsidRPr="004B27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  <w:t>aciones del país en evaluaciones especializadas (como la Evaluación de Transparencia Fiscal del FMI, la evaluación del programa de Gasto Público y Rendición de Cuentas -PEFA-, las evaluaciones del Foro Global de la OCDE, entre otros), así como en medicione</w:t>
            </w:r>
            <w:r w:rsidRPr="004B27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  <w:t>s como el Índice de Presupuesto Abierto de la International Budget Partnership (IBP).</w:t>
            </w:r>
          </w:p>
        </w:tc>
      </w:tr>
      <w:tr w:rsidR="007D4885" w:rsidRPr="004B27C2" w:rsidTr="0072413A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885" w:rsidRPr="004B27C2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¿Por qué es relevante a los valores de OGP?</w:t>
            </w:r>
          </w:p>
        </w:tc>
        <w:tc>
          <w:tcPr>
            <w:tcW w:w="8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Pr="004B27C2" w:rsidRDefault="00FD1F7F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GT"/>
              </w:rPr>
              <w:t xml:space="preserve">El compromiso contribuye a mejorar las buenas prácticas en materia de transparencia fiscal y es relevante porque busca </w:t>
            </w:r>
            <w:r w:rsidRPr="004B27C2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GT"/>
              </w:rPr>
              <w:t>fomentar el acceso a la información pública por parte de la población, facilitando los procesos de rendición de cuentas y participación ciudadana.</w:t>
            </w:r>
          </w:p>
        </w:tc>
      </w:tr>
      <w:tr w:rsidR="007D4885" w:rsidRPr="004B27C2" w:rsidTr="0072413A">
        <w:tblPrEx>
          <w:tblCellMar>
            <w:top w:w="0" w:type="dxa"/>
            <w:bottom w:w="0" w:type="dxa"/>
          </w:tblCellMar>
        </w:tblPrEx>
        <w:trPr>
          <w:trHeight w:val="311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885" w:rsidRPr="004B27C2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lastRenderedPageBreak/>
              <w:t xml:space="preserve">Información Adicional </w:t>
            </w:r>
          </w:p>
        </w:tc>
        <w:tc>
          <w:tcPr>
            <w:tcW w:w="8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Pr="004B27C2" w:rsidRDefault="00FD1F7F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GT"/>
              </w:rPr>
              <w:t>El compromiso está directamente relacionado con el Plan Nacional de Desarrollo Katún,</w:t>
            </w:r>
            <w:r w:rsidRPr="004B27C2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GT"/>
              </w:rPr>
              <w:t xml:space="preserve"> Nuestra Guatemala 2032, particularmente con el eje de “Riqueza para todas y todos”, en cuyas prioridades se define lograr una política fiscal sostenible y transparente, con un manejo transparente, óptimo y eficiente de los recursos públicos. Asimismo, la </w:t>
            </w:r>
            <w:r w:rsidRPr="004B27C2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GT"/>
              </w:rPr>
              <w:t>Política General de Gobierno 2016-2020 en el eje de “Tolerancia cero a la corrupción y modernización del Estado”, establece dentro de las metas presidenciales un Gobierno Abierto y Transparente, con criterios de equidad y disminución de brechas territorial</w:t>
            </w:r>
            <w:r w:rsidRPr="004B27C2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GT"/>
              </w:rPr>
              <w:t xml:space="preserve">es, priorizando los sectores estratégicos de educación, salud, seguridad alimentaria, vivienda, agua, competitividad, empleo e infraestructura social y productiva a nivel nacional. La existencia de mecanismos de transparencia fiscal, rendición de cuentas, </w:t>
            </w:r>
            <w:r w:rsidRPr="004B27C2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GT"/>
              </w:rPr>
              <w:t>participación ciudadana y acceso a la información pública pueden coadyuvar a la realización de estas prioridades.</w:t>
            </w:r>
          </w:p>
        </w:tc>
      </w:tr>
      <w:tr w:rsidR="007D4885" w:rsidRPr="004B27C2" w:rsidTr="0072413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Hitos: metas/etapas que permitan verificar el cumplimiento del compromiso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Entidad Responsable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Compromiso en curso o nuevo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Fecha de inicio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Fecha de término</w:t>
            </w:r>
          </w:p>
        </w:tc>
      </w:tr>
      <w:tr w:rsidR="007D4885" w:rsidRPr="004B27C2" w:rsidTr="0072413A">
        <w:tblPrEx>
          <w:tblCellMar>
            <w:top w:w="0" w:type="dxa"/>
            <w:bottom w:w="0" w:type="dxa"/>
          </w:tblCellMar>
        </w:tblPrEx>
        <w:trPr>
          <w:trHeight w:val="159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Pr="004B27C2" w:rsidRDefault="00FD1F7F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Realización de 11 talleres de sensibilización y capacitación a personal de entidades públicas, empresas proveedoras del Estado, organizaciones de sociedad civil y ciudadanos en general, sobre el uso del módulo de la Subasta Electrónica</w:t>
            </w: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Inversa, a fin de optimizar el uso de los recursos públicos.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MINFIN (DGAE)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En curso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noviembre</w:t>
            </w: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2018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agosto</w:t>
            </w:r>
          </w:p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C24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2020</w:t>
            </w:r>
          </w:p>
        </w:tc>
      </w:tr>
      <w:tr w:rsidR="007D4885" w:rsidRPr="004B27C2" w:rsidTr="0072413A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Pr="004B27C2" w:rsidRDefault="00FD1F7F" w:rsidP="007241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2CF">
              <w:rPr>
                <w:rFonts w:ascii="Arial" w:hAnsi="Arial" w:cs="Arial"/>
                <w:color w:val="000000"/>
                <w:sz w:val="20"/>
                <w:szCs w:val="20"/>
              </w:rPr>
              <w:t>Desarrollo del marco jurídico legal para la creación de un registro de beneficiario final cumpliendo con los estándares del Foro Global de la</w:t>
            </w:r>
            <w:r w:rsidRPr="00C242CF">
              <w:rPr>
                <w:rFonts w:ascii="Arial" w:hAnsi="Arial" w:cs="Arial"/>
                <w:color w:val="000000"/>
                <w:sz w:val="20"/>
                <w:szCs w:val="20"/>
              </w:rPr>
              <w:t xml:space="preserve"> OCDE  y GAFILAT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(propuesta de iniciativa de la ley y reglamento).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MINFIN</w:t>
            </w:r>
          </w:p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(DAPF)</w:t>
            </w:r>
          </w:p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SAT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Nuevo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noviembre</w:t>
            </w: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agosto</w:t>
            </w:r>
          </w:p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C24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2020</w:t>
            </w:r>
          </w:p>
        </w:tc>
      </w:tr>
      <w:tr w:rsidR="007D4885" w:rsidRPr="004B27C2" w:rsidTr="0072413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Pr="004B27C2" w:rsidRDefault="00FD1F7F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Implementación del estándar de datos abiertos para las contrataciones abiertas.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MINFIN</w:t>
            </w:r>
          </w:p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(DGAE)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En curso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noviembre</w:t>
            </w: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2018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agosto</w:t>
            </w:r>
          </w:p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C24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2020</w:t>
            </w:r>
          </w:p>
        </w:tc>
      </w:tr>
      <w:tr w:rsidR="007D4885" w:rsidRPr="004B27C2" w:rsidTr="0072413A">
        <w:tblPrEx>
          <w:tblCellMar>
            <w:top w:w="0" w:type="dxa"/>
            <w:bottom w:w="0" w:type="dxa"/>
          </w:tblCellMar>
        </w:tblPrEx>
        <w:trPr>
          <w:trHeight w:val="409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Pr="004B27C2" w:rsidRDefault="00FD1F7F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Publicación dentro de la página web institucional del MINFIN, de las principales iniciativas y estándares internacionales de transparencia fiscal que se están implementando en Guatemala:</w:t>
            </w:r>
          </w:p>
          <w:p w:rsidR="007D4885" w:rsidRPr="004B27C2" w:rsidRDefault="00FD1F7F" w:rsidP="007D48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Código y Manual de Transparencia Fiscal del FMI</w:t>
            </w:r>
          </w:p>
          <w:p w:rsidR="007D4885" w:rsidRPr="004B27C2" w:rsidRDefault="00FD1F7F" w:rsidP="007D48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Estándar del Foro Glo</w:t>
            </w:r>
            <w:r w:rsidRPr="004B27C2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bal de la Organización para la Cooperación y el Desarrollo Económicos (OCDE), sobre intercambio de información con fines fiscales</w:t>
            </w:r>
          </w:p>
          <w:p w:rsidR="007D4885" w:rsidRPr="004B27C2" w:rsidRDefault="00FD1F7F" w:rsidP="007D48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Estándar de datos abiertos para las contrataciones abiertas de la Open Contracting Partnership (OCP).</w:t>
            </w:r>
          </w:p>
          <w:p w:rsidR="007D4885" w:rsidRPr="004B27C2" w:rsidRDefault="00FD1F7F" w:rsidP="007D48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Principios de Transparencia de la Global Initiative for Fiscal Transparency (GIFT).</w:t>
            </w:r>
          </w:p>
          <w:p w:rsidR="007D4885" w:rsidRPr="004B27C2" w:rsidRDefault="00FD1F7F" w:rsidP="007D48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Evaluación de la Gestión de las Finanzas Públicas (PEFA)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GT"/>
              </w:rPr>
              <w:t>MINFIN</w:t>
            </w:r>
          </w:p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GT"/>
              </w:rPr>
            </w:pPr>
          </w:p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GT"/>
              </w:rPr>
            </w:pPr>
          </w:p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GT"/>
              </w:rPr>
              <w:t>(DTF)</w:t>
            </w:r>
          </w:p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GT"/>
              </w:rPr>
            </w:pPr>
          </w:p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GT"/>
              </w:rPr>
              <w:t>(DAPF)</w:t>
            </w:r>
          </w:p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GT"/>
              </w:rPr>
            </w:pPr>
          </w:p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GT"/>
              </w:rPr>
            </w:pPr>
          </w:p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GT"/>
              </w:rPr>
            </w:pPr>
          </w:p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GT"/>
              </w:rPr>
              <w:t>(DGAE)</w:t>
            </w:r>
          </w:p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GT"/>
              </w:rPr>
            </w:pPr>
          </w:p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GT"/>
              </w:rPr>
              <w:t>(DTF)</w:t>
            </w:r>
          </w:p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GT"/>
              </w:rPr>
            </w:pPr>
          </w:p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(DAPF)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En curso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noviembre</w:t>
            </w: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2018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agosto</w:t>
            </w:r>
          </w:p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C24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2020</w:t>
            </w:r>
          </w:p>
        </w:tc>
      </w:tr>
      <w:tr w:rsidR="007D4885" w:rsidRPr="004B27C2" w:rsidTr="0072413A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Pr="004B27C2" w:rsidRDefault="00FD1F7F" w:rsidP="007241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Elaboración de un Plan de Acción por cada iniciativa  y/o estándar internacional en materia de transparencia fiscal, para su implementación, de acuerdo a la viabilidad legal, técnica o financiera de las recomendaciones y cuya competencia </w:t>
            </w:r>
            <w:r w:rsidRPr="004B27C2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lastRenderedPageBreak/>
              <w:t>corresponda al MIN</w:t>
            </w:r>
            <w:r w:rsidRPr="004B27C2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FIN.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lastRenderedPageBreak/>
              <w:t>MINFIN</w:t>
            </w:r>
          </w:p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(DTF, DAPF, DGAE)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En curso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noviembre</w:t>
            </w: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2018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agosto</w:t>
            </w:r>
          </w:p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C24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2020</w:t>
            </w:r>
          </w:p>
        </w:tc>
      </w:tr>
      <w:tr w:rsidR="007D4885" w:rsidRPr="004B27C2" w:rsidTr="0072413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lastRenderedPageBreak/>
              <w:t>Información de Contacto</w:t>
            </w:r>
          </w:p>
        </w:tc>
      </w:tr>
      <w:tr w:rsidR="007D4885" w:rsidRPr="004B27C2" w:rsidTr="0072413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885" w:rsidRPr="004B27C2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Nombre de la persona responsable o responsables.</w:t>
            </w:r>
          </w:p>
        </w:tc>
        <w:tc>
          <w:tcPr>
            <w:tcW w:w="8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Víctor Manuel Alejandro Martínez Ruiz</w:t>
            </w:r>
          </w:p>
          <w:p w:rsidR="007D4885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  <w:p w:rsidR="007D4885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Delegados:</w:t>
            </w:r>
          </w:p>
          <w:p w:rsidR="007D4885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Licda. Violeta Luna de Castillo</w:t>
            </w:r>
          </w:p>
          <w:p w:rsidR="007D4885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Lic. José Antonio Menéndez</w:t>
            </w:r>
          </w:p>
          <w:p w:rsidR="007D4885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Licda. Silvia Márquez</w:t>
            </w:r>
          </w:p>
          <w:p w:rsidR="007D4885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  <w:p w:rsidR="007D4885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Abel Cruz</w:t>
            </w:r>
          </w:p>
          <w:p w:rsidR="007D4885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  <w:p w:rsidR="007D4885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Delegados:</w:t>
            </w:r>
          </w:p>
          <w:p w:rsidR="007D4885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Luis Ángel Martínez Villatoro</w:t>
            </w:r>
          </w:p>
          <w:p w:rsidR="007D4885" w:rsidRPr="004B27C2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Emilio Vanhelmont Escobar Juárez</w:t>
            </w:r>
          </w:p>
        </w:tc>
      </w:tr>
      <w:tr w:rsidR="007D4885" w:rsidRPr="004B27C2" w:rsidTr="0072413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885" w:rsidRPr="004B27C2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Institución, cargo</w:t>
            </w:r>
          </w:p>
        </w:tc>
        <w:tc>
          <w:tcPr>
            <w:tcW w:w="8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MINFIN - </w:t>
            </w: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Ministro de Finanzas Públicas</w:t>
            </w:r>
          </w:p>
          <w:p w:rsidR="007D4885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  <w:p w:rsidR="007D4885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MINFIN – Directora de Transparencia Fiscal</w:t>
            </w:r>
          </w:p>
          <w:p w:rsidR="007D4885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MINFIN - Asesor</w:t>
            </w:r>
          </w:p>
          <w:p w:rsidR="007D4885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MINFIN - Asesora</w:t>
            </w:r>
          </w:p>
          <w:p w:rsidR="007D4885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  <w:p w:rsidR="007D4885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SAT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Superintendente de Administración Tributaria</w:t>
            </w:r>
          </w:p>
          <w:p w:rsidR="007D4885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  <w:p w:rsidR="007D4885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SAT - Jefe de departamento de Gestión de la Información </w:t>
            </w:r>
          </w:p>
          <w:p w:rsidR="007D4885" w:rsidRPr="004B27C2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SAT – Supervisor de Recaudación </w:t>
            </w:r>
          </w:p>
        </w:tc>
      </w:tr>
      <w:tr w:rsidR="007D4885" w:rsidRPr="00FC0267" w:rsidTr="0072413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885" w:rsidRPr="004B27C2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Correo electrónico y teléfono</w:t>
            </w:r>
          </w:p>
        </w:tc>
        <w:tc>
          <w:tcPr>
            <w:tcW w:w="8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Default="008C6D46" w:rsidP="007241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FD1F7F" w:rsidRPr="004B27C2">
                <w:rPr>
                  <w:rFonts w:ascii="Arial" w:hAnsi="Arial" w:cs="Arial"/>
                  <w:sz w:val="20"/>
                  <w:szCs w:val="20"/>
                </w:rPr>
                <w:t>vmartinez@minfin.gob.gt</w:t>
              </w:r>
            </w:hyperlink>
          </w:p>
          <w:p w:rsidR="007D4885" w:rsidRDefault="008C6D46" w:rsidP="007241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FD1F7F" w:rsidRPr="0065181E">
                <w:rPr>
                  <w:rFonts w:ascii="Arial" w:hAnsi="Arial" w:cs="Arial"/>
                  <w:sz w:val="20"/>
                  <w:szCs w:val="20"/>
                </w:rPr>
                <w:t>vluna@minfin.gov.gt</w:t>
              </w:r>
            </w:hyperlink>
          </w:p>
          <w:p w:rsidR="007D4885" w:rsidRDefault="008C6D46" w:rsidP="007241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D1F7F" w:rsidRPr="0065181E">
                <w:rPr>
                  <w:rFonts w:ascii="Arial" w:hAnsi="Arial" w:cs="Arial"/>
                  <w:sz w:val="20"/>
                  <w:szCs w:val="20"/>
                </w:rPr>
                <w:t>jmenende@minfin.gob.gt</w:t>
              </w:r>
            </w:hyperlink>
          </w:p>
          <w:p w:rsidR="007D4885" w:rsidRDefault="00FD1F7F" w:rsidP="007241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smarquez@minfin.gob.gt</w:t>
            </w:r>
          </w:p>
          <w:p w:rsidR="007D4885" w:rsidRDefault="008C6D46" w:rsidP="007241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D1F7F" w:rsidRPr="0065181E">
                <w:rPr>
                  <w:rFonts w:ascii="Arial" w:hAnsi="Arial" w:cs="Arial"/>
                  <w:sz w:val="20"/>
                  <w:szCs w:val="20"/>
                </w:rPr>
                <w:t>acruz@sat.gob.gt</w:t>
              </w:r>
            </w:hyperlink>
          </w:p>
          <w:p w:rsidR="007D4885" w:rsidRDefault="008C6D46" w:rsidP="007241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FD1F7F" w:rsidRPr="0065181E">
                <w:rPr>
                  <w:rFonts w:ascii="Arial" w:hAnsi="Arial" w:cs="Arial"/>
                  <w:sz w:val="20"/>
                  <w:szCs w:val="20"/>
                </w:rPr>
                <w:t>lamartin@sa</w:t>
              </w:r>
              <w:r w:rsidR="00FD1F7F" w:rsidRPr="0065181E">
                <w:rPr>
                  <w:rFonts w:ascii="Arial" w:hAnsi="Arial" w:cs="Arial"/>
                  <w:sz w:val="20"/>
                  <w:szCs w:val="20"/>
                </w:rPr>
                <w:t>t.gob.gt</w:t>
              </w:r>
            </w:hyperlink>
          </w:p>
          <w:p w:rsidR="007D4885" w:rsidRPr="00FC0267" w:rsidRDefault="00FD1F7F" w:rsidP="0072413A">
            <w:pPr>
              <w:spacing w:after="0" w:line="240" w:lineRule="auto"/>
              <w:rPr>
                <w:color w:val="0000FF" w:themeColor="hyperlink"/>
                <w:u w:val="single"/>
              </w:rPr>
            </w:pPr>
            <w:r>
              <w:t>evescoba@sat.gob.gt</w:t>
            </w:r>
          </w:p>
        </w:tc>
      </w:tr>
      <w:tr w:rsidR="007D4885" w:rsidRPr="004B27C2" w:rsidTr="0072413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Otros Actores Involucrados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Actores de Entidades Públicas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Superintendencia de Administración Tributaria (SAT)</w:t>
            </w:r>
          </w:p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</w:tr>
      <w:tr w:rsidR="007D4885" w:rsidRPr="004B27C2" w:rsidTr="0072413A">
        <w:tblPrEx>
          <w:tblCellMar>
            <w:top w:w="0" w:type="dxa"/>
            <w:bottom w:w="0" w:type="dxa"/>
          </w:tblCellMar>
        </w:tblPrEx>
        <w:trPr>
          <w:trHeight w:val="1453"/>
        </w:trPr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85" w:rsidRPr="004B27C2" w:rsidRDefault="00FD1F7F" w:rsidP="007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OSC, Sector privado, Organizaciones multilaterales, grupos de trabajo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Centro Internacional de Investigaciones en </w:t>
            </w:r>
            <w:r w:rsidRPr="004B2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Derechos Humanos (CIIDH)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</w:t>
            </w:r>
          </w:p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Y otras Organizaciones Sociales interesadas </w:t>
            </w:r>
          </w:p>
        </w:tc>
      </w:tr>
      <w:tr w:rsidR="007D4885" w:rsidRPr="004B27C2" w:rsidTr="0072413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4B27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Observaciones</w:t>
            </w:r>
          </w:p>
        </w:tc>
      </w:tr>
      <w:tr w:rsidR="007D4885" w:rsidRPr="004B27C2" w:rsidTr="0072413A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5" w:rsidRPr="004B27C2" w:rsidRDefault="00FD1F7F" w:rsidP="0072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</w:p>
        </w:tc>
      </w:tr>
    </w:tbl>
    <w:p w:rsidR="00F63901" w:rsidRDefault="00FD1F7F"/>
    <w:sectPr w:rsidR="00F63901" w:rsidSect="008C6D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7B26"/>
    <w:multiLevelType w:val="multilevel"/>
    <w:tmpl w:val="FFE23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C6D46"/>
    <w:rsid w:val="008C6D46"/>
    <w:rsid w:val="00EB68B3"/>
    <w:rsid w:val="00FD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uz@sat.gob.g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enende@minfin.gob.gt" TargetMode="External"/><Relationship Id="rId12" Type="http://schemas.microsoft.com/office/2007/relationships/stylesWithEffects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una@minfin.gov.g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martinez@minfin.gob.g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martin@sat.gob.g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1652</Words>
  <Characters>9087</Characters>
  <Application>Microsoft Office Word</Application>
  <DocSecurity>0</DocSecurity>
  <Lines>75</Lines>
  <Paragraphs>21</Paragraphs>
  <ScaleCrop>false</ScaleCrop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transpfis08</cp:lastModifiedBy>
  <cp:revision>1</cp:revision>
  <dcterms:created xsi:type="dcterms:W3CDTF">2019-03-12T16:34:00Z</dcterms:created>
  <dcterms:modified xsi:type="dcterms:W3CDTF">2019-03-12T16:35:00Z</dcterms:modified>
</cp:coreProperties>
</file>